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A2" w:rsidRPr="00805AC9" w:rsidRDefault="006F2AA2" w:rsidP="006F2AA2">
      <w:r w:rsidRPr="00805AC9">
        <w:t>№</w:t>
      </w:r>
      <w:r>
        <w:t>1</w:t>
      </w:r>
      <w:r w:rsidRPr="00805AC9">
        <w:t xml:space="preserve"> 201</w:t>
      </w:r>
      <w:r>
        <w:t>6</w:t>
      </w:r>
    </w:p>
    <w:p w:rsidR="006F2AA2" w:rsidRPr="00805AC9" w:rsidRDefault="006F2AA2" w:rsidP="006F2AA2"/>
    <w:p w:rsidR="006F2AA2" w:rsidRDefault="006F2AA2" w:rsidP="006F2AA2">
      <w:r w:rsidRPr="00507025">
        <w:rPr>
          <w:b/>
        </w:rPr>
        <w:t>ПРИРОДА</w:t>
      </w:r>
    </w:p>
    <w:p w:rsidR="006F2AA2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Общие вопросы природопользования </w:t>
      </w:r>
    </w:p>
    <w:p w:rsidR="006F2AA2" w:rsidRDefault="006F2AA2" w:rsidP="006F2AA2"/>
    <w:p w:rsidR="006F2AA2" w:rsidRPr="006F2AA2" w:rsidRDefault="006F2AA2" w:rsidP="006F2AA2">
      <w:pPr>
        <w:rPr>
          <w:b/>
        </w:rPr>
      </w:pPr>
      <w:proofErr w:type="spellStart"/>
      <w:r w:rsidRPr="006F2AA2">
        <w:rPr>
          <w:b/>
        </w:rPr>
        <w:t>Экосистемный</w:t>
      </w:r>
      <w:proofErr w:type="spellEnd"/>
      <w:r w:rsidRPr="006F2AA2">
        <w:rPr>
          <w:b/>
        </w:rPr>
        <w:t xml:space="preserve"> учет как развитие национального счетоводства и комплексного природно-ресурсного и экономического учета </w:t>
      </w:r>
    </w:p>
    <w:p w:rsidR="006F2AA2" w:rsidRDefault="006F2AA2" w:rsidP="006F2AA2">
      <w:r w:rsidRPr="006F2AA2">
        <w:t>А.Д. Думнов</w:t>
      </w:r>
      <w:proofErr w:type="gramStart"/>
      <w:r w:rsidRPr="006F2AA2">
        <w:rPr>
          <w:vertAlign w:val="superscript"/>
        </w:rPr>
        <w:t>1</w:t>
      </w:r>
      <w:proofErr w:type="gramEnd"/>
      <w:r w:rsidRPr="006F2AA2">
        <w:t xml:space="preserve">, </w:t>
      </w:r>
      <w:proofErr w:type="spellStart"/>
      <w:r w:rsidRPr="006F2AA2">
        <w:t>д.э.н</w:t>
      </w:r>
      <w:proofErr w:type="spellEnd"/>
      <w:r w:rsidRPr="006F2AA2">
        <w:t>., Н.Г. Рыбальский</w:t>
      </w:r>
      <w:r w:rsidRPr="006F2AA2">
        <w:rPr>
          <w:vertAlign w:val="superscript"/>
        </w:rPr>
        <w:t>1,2</w:t>
      </w:r>
      <w:r w:rsidRPr="006F2AA2">
        <w:t xml:space="preserve">, д.б.н. </w:t>
      </w:r>
    </w:p>
    <w:p w:rsidR="006F2AA2" w:rsidRDefault="006F2AA2" w:rsidP="006F2AA2">
      <w:r w:rsidRPr="006F2AA2">
        <w:rPr>
          <w:vertAlign w:val="superscript"/>
        </w:rPr>
        <w:t>1</w:t>
      </w:r>
      <w:r w:rsidRPr="006F2AA2">
        <w:t xml:space="preserve">Национальное информационное агентство «Природные ресурсы» </w:t>
      </w:r>
    </w:p>
    <w:p w:rsidR="006F2AA2" w:rsidRPr="006F2AA2" w:rsidRDefault="006F2AA2" w:rsidP="006F2AA2">
      <w:r w:rsidRPr="006F2AA2">
        <w:rPr>
          <w:vertAlign w:val="superscript"/>
        </w:rPr>
        <w:t>2</w:t>
      </w:r>
      <w:r w:rsidRPr="006F2AA2">
        <w:t xml:space="preserve">Президиум Российской экологической академии </w:t>
      </w:r>
    </w:p>
    <w:p w:rsidR="006F2AA2" w:rsidRPr="006F2AA2" w:rsidRDefault="006F2AA2" w:rsidP="006F2AA2">
      <w:r w:rsidRPr="006F2AA2">
        <w:t xml:space="preserve">В статье раскрывается </w:t>
      </w:r>
      <w:proofErr w:type="gramStart"/>
      <w:r w:rsidRPr="006F2AA2">
        <w:t>сущность</w:t>
      </w:r>
      <w:proofErr w:type="gramEnd"/>
      <w:r w:rsidRPr="006F2AA2">
        <w:t xml:space="preserve"> и основные элементы </w:t>
      </w:r>
      <w:proofErr w:type="spellStart"/>
      <w:r w:rsidRPr="006F2AA2">
        <w:t>экосистемного</w:t>
      </w:r>
      <w:proofErr w:type="spellEnd"/>
      <w:r w:rsidRPr="006F2AA2">
        <w:t xml:space="preserve"> учета как неразрывной части системы национальных счетов и </w:t>
      </w:r>
      <w:proofErr w:type="spellStart"/>
      <w:r w:rsidRPr="006F2AA2">
        <w:t>сателлитной</w:t>
      </w:r>
      <w:proofErr w:type="spellEnd"/>
      <w:r w:rsidRPr="006F2AA2">
        <w:t xml:space="preserve"> (вспомогательной) Системы природно-ресурсного и экономического учета (СПЭУ). Исследование осуществлено на основе рекомендаций Еврокомисс</w:t>
      </w:r>
      <w:r>
        <w:t>ией, ОЭСР, ООН и Всемирного бан</w:t>
      </w:r>
      <w:r w:rsidRPr="006F2AA2">
        <w:t xml:space="preserve">ка – документ «Экспериментальный </w:t>
      </w:r>
      <w:proofErr w:type="spellStart"/>
      <w:r w:rsidRPr="006F2AA2">
        <w:t>экосистемный</w:t>
      </w:r>
      <w:proofErr w:type="spellEnd"/>
      <w:r w:rsidRPr="006F2AA2">
        <w:t xml:space="preserve"> учет СПЭУ» в версии 2012</w:t>
      </w:r>
      <w:r>
        <w:t xml:space="preserve"> г. Подробно проанализирован по</w:t>
      </w:r>
      <w:r w:rsidRPr="006F2AA2">
        <w:t xml:space="preserve">нятийно-терминологический аппарат, предлагаемый при изучении </w:t>
      </w:r>
      <w:proofErr w:type="spellStart"/>
      <w:r w:rsidRPr="006F2AA2">
        <w:t>экосистемного</w:t>
      </w:r>
      <w:proofErr w:type="spellEnd"/>
      <w:r w:rsidRPr="006F2AA2">
        <w:t xml:space="preserve"> учета с глобальных позиций и применительно к реалиям России. Описаны категории </w:t>
      </w:r>
      <w:proofErr w:type="spellStart"/>
      <w:r w:rsidRPr="006F2AA2">
        <w:t>экосистемных</w:t>
      </w:r>
      <w:proofErr w:type="spellEnd"/>
      <w:r w:rsidRPr="006F2AA2">
        <w:t xml:space="preserve"> активов и услуг; раскрыты основные подходы по их стоимостной оценке. </w:t>
      </w:r>
    </w:p>
    <w:p w:rsidR="006F2AA2" w:rsidRPr="006F2AA2" w:rsidRDefault="006F2AA2" w:rsidP="006F2AA2">
      <w:r w:rsidRPr="006F2AA2">
        <w:t xml:space="preserve">Ключевые слова: </w:t>
      </w:r>
      <w:proofErr w:type="spellStart"/>
      <w:r w:rsidRPr="006F2AA2">
        <w:t>экосистемный</w:t>
      </w:r>
      <w:proofErr w:type="spellEnd"/>
      <w:r w:rsidRPr="006F2AA2">
        <w:t xml:space="preserve"> учет, система национальных счетов, международный статистический стандарт «Система комплексного природно-ресурсного и экономического учета (СПЭУ)», </w:t>
      </w:r>
      <w:proofErr w:type="spellStart"/>
      <w:r w:rsidRPr="006F2AA2">
        <w:t>экосистемные</w:t>
      </w:r>
      <w:proofErr w:type="spellEnd"/>
      <w:r w:rsidRPr="006F2AA2">
        <w:t xml:space="preserve"> активы и услуги, бенефиции, стоимостные оценки </w:t>
      </w:r>
      <w:proofErr w:type="spellStart"/>
      <w:r w:rsidRPr="006F2AA2">
        <w:t>экосистемных</w:t>
      </w:r>
      <w:proofErr w:type="spellEnd"/>
      <w:r w:rsidRPr="006F2AA2">
        <w:t xml:space="preserve"> активов и услуг, </w:t>
      </w:r>
      <w:proofErr w:type="spellStart"/>
      <w:r w:rsidRPr="006F2AA2">
        <w:t>экосистемные</w:t>
      </w:r>
      <w:proofErr w:type="spellEnd"/>
      <w:r w:rsidRPr="006F2AA2">
        <w:t xml:space="preserve"> счета.</w:t>
      </w:r>
    </w:p>
    <w:p w:rsidR="006F2AA2" w:rsidRPr="00507025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Минеральные ресурсы </w:t>
      </w:r>
    </w:p>
    <w:p w:rsidR="006F2AA2" w:rsidRDefault="006F2AA2" w:rsidP="006F2AA2"/>
    <w:p w:rsidR="006F2AA2" w:rsidRPr="006F2AA2" w:rsidRDefault="006F2AA2" w:rsidP="006F2AA2">
      <w:r w:rsidRPr="006F2AA2">
        <w:t xml:space="preserve">Сланцевые углеводороды: реалии и мифы </w:t>
      </w:r>
    </w:p>
    <w:p w:rsidR="006F2AA2" w:rsidRPr="006F2AA2" w:rsidRDefault="006F2AA2" w:rsidP="006F2AA2">
      <w:proofErr w:type="gramStart"/>
      <w:r w:rsidRPr="006F2AA2">
        <w:t xml:space="preserve">Л.В. Оганесян, </w:t>
      </w:r>
      <w:proofErr w:type="spellStart"/>
      <w:r w:rsidRPr="006F2AA2">
        <w:t>д.г.-м.н</w:t>
      </w:r>
      <w:proofErr w:type="spellEnd"/>
      <w:r w:rsidRPr="006F2AA2">
        <w:t>., проф., Российское геологическое общество</w:t>
      </w:r>
      <w:proofErr w:type="gramEnd"/>
    </w:p>
    <w:p w:rsidR="006F2AA2" w:rsidRPr="006F2AA2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Водные ресурсы </w:t>
      </w:r>
    </w:p>
    <w:p w:rsidR="006F2AA2" w:rsidRDefault="006F2AA2" w:rsidP="006F2AA2"/>
    <w:p w:rsidR="006F2AA2" w:rsidRPr="006F2AA2" w:rsidRDefault="006F2AA2" w:rsidP="006F2AA2">
      <w:pPr>
        <w:rPr>
          <w:b/>
        </w:rPr>
      </w:pPr>
      <w:proofErr w:type="gramStart"/>
      <w:r w:rsidRPr="006F2AA2">
        <w:rPr>
          <w:b/>
        </w:rPr>
        <w:t>Проблемы эффективности водохозяйственного использования водных объектов на территории европейской части России (Окончание.</w:t>
      </w:r>
      <w:proofErr w:type="gramEnd"/>
      <w:r w:rsidRPr="006F2AA2">
        <w:rPr>
          <w:b/>
        </w:rPr>
        <w:t xml:space="preserve"> Начало в </w:t>
      </w:r>
      <w:proofErr w:type="spellStart"/>
      <w:r w:rsidRPr="006F2AA2">
        <w:rPr>
          <w:b/>
        </w:rPr>
        <w:t>бюлл</w:t>
      </w:r>
      <w:proofErr w:type="spellEnd"/>
      <w:r w:rsidRPr="006F2AA2">
        <w:rPr>
          <w:b/>
        </w:rPr>
        <w:t xml:space="preserve">. № 6) </w:t>
      </w:r>
    </w:p>
    <w:p w:rsidR="005E0D5D" w:rsidRDefault="006F2AA2" w:rsidP="006F2AA2">
      <w:r w:rsidRPr="006F2AA2">
        <w:t xml:space="preserve">В.Ф. </w:t>
      </w:r>
      <w:proofErr w:type="spellStart"/>
      <w:r w:rsidRPr="006F2AA2">
        <w:t>Ладыгин</w:t>
      </w:r>
      <w:proofErr w:type="spellEnd"/>
      <w:r w:rsidRPr="006F2AA2">
        <w:t xml:space="preserve">, ЗАО «ПО </w:t>
      </w:r>
      <w:proofErr w:type="spellStart"/>
      <w:r w:rsidRPr="006F2AA2">
        <w:t>Совин</w:t>
      </w:r>
      <w:r w:rsidR="005E0D5D">
        <w:t>тервод</w:t>
      </w:r>
      <w:proofErr w:type="spellEnd"/>
      <w:r w:rsidR="005E0D5D">
        <w:t>»</w:t>
      </w:r>
    </w:p>
    <w:p w:rsidR="005E0D5D" w:rsidRDefault="005E0D5D" w:rsidP="006F2AA2">
      <w:r>
        <w:t xml:space="preserve">Ю.Г. Богомолов, </w:t>
      </w:r>
      <w:proofErr w:type="spellStart"/>
      <w:r>
        <w:t>к.г.-м.н</w:t>
      </w:r>
      <w:proofErr w:type="spellEnd"/>
      <w:r>
        <w:t>.</w:t>
      </w:r>
    </w:p>
    <w:p w:rsidR="006F2AA2" w:rsidRPr="006F2AA2" w:rsidRDefault="006F2AA2" w:rsidP="006F2AA2">
      <w:r w:rsidRPr="006F2AA2">
        <w:t xml:space="preserve">С.М. </w:t>
      </w:r>
      <w:proofErr w:type="gramStart"/>
      <w:r w:rsidRPr="006F2AA2">
        <w:t>Голубев</w:t>
      </w:r>
      <w:proofErr w:type="gramEnd"/>
      <w:r w:rsidRPr="006F2AA2">
        <w:t xml:space="preserve">, </w:t>
      </w:r>
      <w:proofErr w:type="spellStart"/>
      <w:r w:rsidRPr="006F2AA2">
        <w:t>к.г.-м.н</w:t>
      </w:r>
      <w:proofErr w:type="spellEnd"/>
      <w:r w:rsidRPr="006F2AA2">
        <w:t>., Правление Российского союза гидрогеологов</w:t>
      </w:r>
    </w:p>
    <w:p w:rsidR="006F2AA2" w:rsidRPr="00507025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Земельные ресурсы и почвы </w:t>
      </w:r>
    </w:p>
    <w:p w:rsidR="006F2AA2" w:rsidRDefault="006F2AA2" w:rsidP="006F2AA2"/>
    <w:p w:rsidR="005E0D5D" w:rsidRPr="005E0D5D" w:rsidRDefault="005E0D5D" w:rsidP="005E0D5D">
      <w:pPr>
        <w:rPr>
          <w:b/>
        </w:rPr>
      </w:pPr>
      <w:proofErr w:type="spellStart"/>
      <w:r w:rsidRPr="005E0D5D">
        <w:rPr>
          <w:b/>
        </w:rPr>
        <w:t>Агробиржа</w:t>
      </w:r>
      <w:proofErr w:type="spellEnd"/>
      <w:r w:rsidRPr="005E0D5D">
        <w:rPr>
          <w:b/>
        </w:rPr>
        <w:t xml:space="preserve"> в России: состояние и проблемы </w:t>
      </w:r>
    </w:p>
    <w:p w:rsidR="005E0D5D" w:rsidRPr="005E0D5D" w:rsidRDefault="005E0D5D" w:rsidP="005E0D5D">
      <w:r w:rsidRPr="005E0D5D">
        <w:t xml:space="preserve">В.А. Долгинова, </w:t>
      </w:r>
      <w:proofErr w:type="gramStart"/>
      <w:r w:rsidRPr="005E0D5D">
        <w:t>к.б</w:t>
      </w:r>
      <w:proofErr w:type="gramEnd"/>
      <w:r w:rsidRPr="005E0D5D">
        <w:t xml:space="preserve">.н., Российский центр </w:t>
      </w:r>
      <w:proofErr w:type="spellStart"/>
      <w:r w:rsidRPr="005E0D5D">
        <w:t>агромаркетинга</w:t>
      </w:r>
      <w:proofErr w:type="spellEnd"/>
      <w:r w:rsidRPr="005E0D5D">
        <w:t xml:space="preserve"> «</w:t>
      </w:r>
      <w:proofErr w:type="spellStart"/>
      <w:r w:rsidRPr="005E0D5D">
        <w:t>АгроПрогноз</w:t>
      </w:r>
      <w:proofErr w:type="spellEnd"/>
      <w:r w:rsidRPr="005E0D5D">
        <w:t xml:space="preserve">» </w:t>
      </w:r>
    </w:p>
    <w:p w:rsidR="005E0D5D" w:rsidRPr="005E0D5D" w:rsidRDefault="005E0D5D" w:rsidP="005E0D5D">
      <w:r w:rsidRPr="005E0D5D">
        <w:t xml:space="preserve">Н.Н. </w:t>
      </w:r>
      <w:proofErr w:type="spellStart"/>
      <w:r w:rsidRPr="005E0D5D">
        <w:t>Рыбальский</w:t>
      </w:r>
      <w:proofErr w:type="spellEnd"/>
      <w:r w:rsidRPr="005E0D5D">
        <w:t xml:space="preserve">, </w:t>
      </w:r>
      <w:proofErr w:type="gramStart"/>
      <w:r w:rsidRPr="005E0D5D">
        <w:t>к.б</w:t>
      </w:r>
      <w:proofErr w:type="gramEnd"/>
      <w:r w:rsidRPr="005E0D5D">
        <w:t xml:space="preserve">.н., факультет почвоведения МГУ им. М.В. Ломоносова </w:t>
      </w:r>
    </w:p>
    <w:p w:rsidR="005E0D5D" w:rsidRPr="005E0D5D" w:rsidRDefault="005E0D5D" w:rsidP="005E0D5D">
      <w:r w:rsidRPr="005E0D5D">
        <w:t xml:space="preserve">Статья посвящена обзору ситуации в области биржевой торговли сельскохозяйственной продукцией в России и мире, приводится информация о торговых операциях в </w:t>
      </w:r>
      <w:proofErr w:type="spellStart"/>
      <w:r w:rsidRPr="005E0D5D">
        <w:t>агросекторе</w:t>
      </w:r>
      <w:proofErr w:type="spellEnd"/>
      <w:r w:rsidRPr="005E0D5D">
        <w:t xml:space="preserve"> и дается о</w:t>
      </w:r>
      <w:r>
        <w:t>боснование необходимости появле</w:t>
      </w:r>
      <w:r w:rsidRPr="005E0D5D">
        <w:t xml:space="preserve">ния институализированной </w:t>
      </w:r>
      <w:proofErr w:type="spellStart"/>
      <w:r w:rsidRPr="005E0D5D">
        <w:t>агробиржи</w:t>
      </w:r>
      <w:proofErr w:type="spellEnd"/>
      <w:r w:rsidRPr="005E0D5D">
        <w:t xml:space="preserve"> в России. Проведен анализ существующих финансовых инструментов на </w:t>
      </w:r>
      <w:proofErr w:type="spellStart"/>
      <w:r w:rsidRPr="005E0D5D">
        <w:t>агрорынке</w:t>
      </w:r>
      <w:proofErr w:type="spellEnd"/>
      <w:r w:rsidRPr="005E0D5D">
        <w:t xml:space="preserve"> и выявлены основные характеристики сложившихся рыночных отно</w:t>
      </w:r>
      <w:r>
        <w:t xml:space="preserve">шений в </w:t>
      </w:r>
      <w:proofErr w:type="gramStart"/>
      <w:r>
        <w:t>отечественном</w:t>
      </w:r>
      <w:proofErr w:type="gramEnd"/>
      <w:r>
        <w:t xml:space="preserve"> </w:t>
      </w:r>
      <w:proofErr w:type="spellStart"/>
      <w:r>
        <w:t>агросекто</w:t>
      </w:r>
      <w:r w:rsidRPr="005E0D5D">
        <w:t>ре</w:t>
      </w:r>
      <w:proofErr w:type="spellEnd"/>
      <w:r w:rsidRPr="005E0D5D">
        <w:t xml:space="preserve">. Предложено вести образовательную деятельность среди аграриев посредством </w:t>
      </w:r>
      <w:proofErr w:type="spellStart"/>
      <w:r w:rsidRPr="005E0D5D">
        <w:t>медиа-инструментов</w:t>
      </w:r>
      <w:proofErr w:type="spellEnd"/>
      <w:r w:rsidRPr="005E0D5D">
        <w:t xml:space="preserve"> на примере проекта «</w:t>
      </w:r>
      <w:proofErr w:type="spellStart"/>
      <w:r w:rsidRPr="005E0D5D">
        <w:t>Агропрогноз</w:t>
      </w:r>
      <w:proofErr w:type="spellEnd"/>
      <w:r w:rsidRPr="005E0D5D">
        <w:t xml:space="preserve">». </w:t>
      </w:r>
    </w:p>
    <w:p w:rsidR="006F2AA2" w:rsidRPr="005E0D5D" w:rsidRDefault="005E0D5D" w:rsidP="005E0D5D">
      <w:r w:rsidRPr="005E0D5D">
        <w:lastRenderedPageBreak/>
        <w:t xml:space="preserve">Ключевые слова: </w:t>
      </w:r>
      <w:proofErr w:type="spellStart"/>
      <w:r w:rsidRPr="005E0D5D">
        <w:t>агробиржа</w:t>
      </w:r>
      <w:proofErr w:type="spellEnd"/>
      <w:r w:rsidRPr="005E0D5D">
        <w:t xml:space="preserve">, </w:t>
      </w:r>
      <w:proofErr w:type="spellStart"/>
      <w:r w:rsidRPr="005E0D5D">
        <w:t>агропром</w:t>
      </w:r>
      <w:proofErr w:type="spellEnd"/>
      <w:r w:rsidRPr="005E0D5D">
        <w:t>, АПК, агропромышленная биржа, аграрн</w:t>
      </w:r>
      <w:r>
        <w:t xml:space="preserve">ая биржа, биржевая торговля, </w:t>
      </w:r>
      <w:proofErr w:type="spellStart"/>
      <w:r>
        <w:t>аг</w:t>
      </w:r>
      <w:r w:rsidRPr="005E0D5D">
        <w:t>росектор</w:t>
      </w:r>
      <w:proofErr w:type="spellEnd"/>
      <w:r w:rsidRPr="005E0D5D">
        <w:t xml:space="preserve">, </w:t>
      </w:r>
      <w:proofErr w:type="spellStart"/>
      <w:r w:rsidRPr="005E0D5D">
        <w:t>агрорынок</w:t>
      </w:r>
      <w:proofErr w:type="spellEnd"/>
      <w:r w:rsidRPr="005E0D5D">
        <w:t xml:space="preserve">, опционы, фьючерсы, государственные зерновые интервенции, прогнозирование, </w:t>
      </w:r>
      <w:proofErr w:type="spellStart"/>
      <w:r w:rsidRPr="005E0D5D">
        <w:t>агропрогноз</w:t>
      </w:r>
      <w:proofErr w:type="spellEnd"/>
      <w:r w:rsidRPr="005E0D5D">
        <w:t>.</w:t>
      </w:r>
    </w:p>
    <w:p w:rsidR="006F2AA2" w:rsidRPr="00507025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Лесные ресурсы </w:t>
      </w:r>
    </w:p>
    <w:p w:rsidR="006F2AA2" w:rsidRDefault="006F2AA2" w:rsidP="006F2AA2"/>
    <w:p w:rsidR="005E0D5D" w:rsidRPr="005E0D5D" w:rsidRDefault="005E0D5D" w:rsidP="005E0D5D">
      <w:pPr>
        <w:rPr>
          <w:b/>
        </w:rPr>
      </w:pPr>
      <w:r w:rsidRPr="005E0D5D">
        <w:rPr>
          <w:b/>
        </w:rPr>
        <w:t xml:space="preserve">Цель и политика управления государственными лесами </w:t>
      </w:r>
    </w:p>
    <w:p w:rsidR="005E0D5D" w:rsidRPr="005E0D5D" w:rsidRDefault="005E0D5D" w:rsidP="005E0D5D">
      <w:r w:rsidRPr="005E0D5D">
        <w:t xml:space="preserve">А.И. Писаренко, академик РАН, Президент Российского общества лесоводов, </w:t>
      </w:r>
    </w:p>
    <w:p w:rsidR="005E0D5D" w:rsidRPr="005E0D5D" w:rsidRDefault="005E0D5D" w:rsidP="005E0D5D">
      <w:r w:rsidRPr="005E0D5D">
        <w:t xml:space="preserve">В.В. Страхов, </w:t>
      </w:r>
      <w:proofErr w:type="spellStart"/>
      <w:r w:rsidRPr="005E0D5D">
        <w:t>д.с.-х.н</w:t>
      </w:r>
      <w:proofErr w:type="spellEnd"/>
      <w:r w:rsidRPr="005E0D5D">
        <w:t xml:space="preserve">., ВНИИЛМ Рослесхоза </w:t>
      </w:r>
    </w:p>
    <w:p w:rsidR="005E0D5D" w:rsidRPr="005E0D5D" w:rsidRDefault="005E0D5D" w:rsidP="005E0D5D">
      <w:r w:rsidRPr="005E0D5D">
        <w:t>Статья носит многоплановый характер и содержит анализ практики лесного хозяйства России и предложения по совершенствованию управления лесами. Авторы полагают, что цель управления л</w:t>
      </w:r>
      <w:r>
        <w:t>есами страны должна быть опреде</w:t>
      </w:r>
      <w:r w:rsidRPr="005E0D5D">
        <w:t>лена законодательно. Подчеркивается, что долгосрочные цели планирования управления лесами игнорируются при планировании и контроле деятельности государственных органов власти. Подчеркивается необходимость иерархии целей управления лесами, представляющая собой декомпозицию целей более высокого уровня в цели более низкого уровня. Показано, что управляемость лесами страны ещё в большей степени, чем ра</w:t>
      </w:r>
      <w:r>
        <w:t>ньше, определяется качеством ин</w:t>
      </w:r>
      <w:r w:rsidRPr="005E0D5D">
        <w:t>формации о лесах, получаемой при лесоустройстве. Авторы отмечают важность п</w:t>
      </w:r>
      <w:r>
        <w:t>оддержания баланса между практи</w:t>
      </w:r>
      <w:r w:rsidRPr="005E0D5D">
        <w:t>чески неограниченной самостоятельностью специалистов лесного хозяйства и детальной регламентацией управления лесами, зафиксированной в законодательно-нормативной базе, основой которой бы</w:t>
      </w:r>
      <w:r>
        <w:t>л «Устав лесной». Показана необ</w:t>
      </w:r>
      <w:r w:rsidRPr="005E0D5D">
        <w:t xml:space="preserve">ходимость </w:t>
      </w:r>
      <w:proofErr w:type="gramStart"/>
      <w:r w:rsidRPr="005E0D5D">
        <w:t>свода правил методов ведения лесного хозяйства</w:t>
      </w:r>
      <w:proofErr w:type="gramEnd"/>
      <w:r w:rsidRPr="005E0D5D">
        <w:t xml:space="preserve"> и организации лесопользования, с учётом региональных особенностей лесов и управления ими. Авторы предлагают возродить «</w:t>
      </w:r>
      <w:proofErr w:type="spellStart"/>
      <w:r w:rsidRPr="005E0D5D">
        <w:t>Лесоохрани</w:t>
      </w:r>
      <w:r>
        <w:t>тельные</w:t>
      </w:r>
      <w:proofErr w:type="spellEnd"/>
      <w:r>
        <w:t xml:space="preserve"> комитеты» при губернато</w:t>
      </w:r>
      <w:r w:rsidRPr="005E0D5D">
        <w:t xml:space="preserve">рах и институт ежегодных «Лесных съездов». </w:t>
      </w:r>
    </w:p>
    <w:p w:rsidR="006F2AA2" w:rsidRPr="005E0D5D" w:rsidRDefault="005E0D5D" w:rsidP="005E0D5D">
      <w:r w:rsidRPr="005E0D5D">
        <w:t xml:space="preserve">Ключевые слова: управление лесами, лесоустройство, правила ведения лесного </w:t>
      </w:r>
      <w:r>
        <w:t xml:space="preserve">хозяйства, </w:t>
      </w:r>
      <w:proofErr w:type="spellStart"/>
      <w:r>
        <w:t>Лесоохранительные</w:t>
      </w:r>
      <w:proofErr w:type="spellEnd"/>
      <w:r>
        <w:t xml:space="preserve"> ко</w:t>
      </w:r>
      <w:r w:rsidRPr="005E0D5D">
        <w:t>митеты, ежегодные лесные съезды.</w:t>
      </w:r>
    </w:p>
    <w:p w:rsidR="006F2AA2" w:rsidRPr="00507025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Биологические ресурсы суши </w:t>
      </w:r>
    </w:p>
    <w:p w:rsidR="006F2AA2" w:rsidRDefault="006F2AA2" w:rsidP="006F2AA2"/>
    <w:p w:rsidR="005E0D5D" w:rsidRPr="00710959" w:rsidRDefault="005E0D5D" w:rsidP="005E0D5D">
      <w:pPr>
        <w:rPr>
          <w:b/>
        </w:rPr>
      </w:pPr>
      <w:r w:rsidRPr="00710959">
        <w:rPr>
          <w:b/>
        </w:rPr>
        <w:t xml:space="preserve">Продуктивность природных кормовых угодий России </w:t>
      </w:r>
    </w:p>
    <w:p w:rsidR="005E0D5D" w:rsidRPr="005E0D5D" w:rsidRDefault="005E0D5D" w:rsidP="005E0D5D">
      <w:proofErr w:type="gramStart"/>
      <w:r w:rsidRPr="005E0D5D">
        <w:t xml:space="preserve">И.А. Трофимов, д.г.н., Л.С. Трофимова, </w:t>
      </w:r>
      <w:proofErr w:type="spellStart"/>
      <w:r w:rsidRPr="005E0D5D">
        <w:t>к.с.-х.н</w:t>
      </w:r>
      <w:proofErr w:type="spellEnd"/>
      <w:r w:rsidRPr="005E0D5D">
        <w:t xml:space="preserve">., Е.П. Яковлева ВНИИ кормов им. В.Р. Вильямса </w:t>
      </w:r>
      <w:proofErr w:type="gramEnd"/>
    </w:p>
    <w:p w:rsidR="005E0D5D" w:rsidRPr="005E0D5D" w:rsidRDefault="005E0D5D" w:rsidP="005E0D5D">
      <w:r w:rsidRPr="005E0D5D">
        <w:t xml:space="preserve">Показано, что являясь одним из основных компонентов биосферы, кормовые экосистемы выполняют важнейшие продукционные, </w:t>
      </w:r>
      <w:proofErr w:type="spellStart"/>
      <w:r w:rsidRPr="005E0D5D">
        <w:t>средостабилизирующие</w:t>
      </w:r>
      <w:proofErr w:type="spellEnd"/>
      <w:r w:rsidRPr="005E0D5D">
        <w:t xml:space="preserve"> и природоохранные функции в </w:t>
      </w:r>
      <w:proofErr w:type="spellStart"/>
      <w:r w:rsidRPr="005E0D5D">
        <w:t>агроландшафтах</w:t>
      </w:r>
      <w:proofErr w:type="spellEnd"/>
      <w:r w:rsidRPr="005E0D5D">
        <w:t xml:space="preserve"> и оказывают значительное влияние на экологическое состояние территории страны. Поэтому важнейшей задачей является собрать и сохранить – мобилизовать тот уникальный, богатейший генофонд кормовых трав, которые произрастают на природных кормовых угодьях России. Отмечается, что для увеличения производства продукции животн</w:t>
      </w:r>
      <w:r>
        <w:t>оводства требуется повысить про</w:t>
      </w:r>
      <w:r w:rsidRPr="005E0D5D">
        <w:t>дуктивность природных пастбищ и сенокосов, создать культурные пастбища и сенокосы</w:t>
      </w:r>
      <w:r>
        <w:t>, как это принято во многих раз</w:t>
      </w:r>
      <w:r w:rsidRPr="005E0D5D">
        <w:t xml:space="preserve">витых странах мира. Необходимо восстановить их </w:t>
      </w:r>
      <w:proofErr w:type="spellStart"/>
      <w:r w:rsidRPr="005E0D5D">
        <w:t>средообразующую</w:t>
      </w:r>
      <w:proofErr w:type="spellEnd"/>
      <w:r w:rsidRPr="005E0D5D">
        <w:t xml:space="preserve"> и </w:t>
      </w:r>
      <w:proofErr w:type="gramStart"/>
      <w:r w:rsidRPr="005E0D5D">
        <w:t>природоохранную</w:t>
      </w:r>
      <w:proofErr w:type="gramEnd"/>
      <w:r w:rsidRPr="005E0D5D">
        <w:t xml:space="preserve"> функции в </w:t>
      </w:r>
      <w:proofErr w:type="spellStart"/>
      <w:r w:rsidRPr="005E0D5D">
        <w:t>агроландшафтах</w:t>
      </w:r>
      <w:proofErr w:type="spellEnd"/>
      <w:r w:rsidRPr="005E0D5D">
        <w:t xml:space="preserve">. </w:t>
      </w:r>
    </w:p>
    <w:p w:rsidR="006F2AA2" w:rsidRPr="005E0D5D" w:rsidRDefault="005E0D5D" w:rsidP="005E0D5D">
      <w:r w:rsidRPr="005E0D5D">
        <w:t>Ключевые слова: природные кормовые угодья, кормовые экосистемы, приро</w:t>
      </w:r>
      <w:r>
        <w:t>дные пастбища, сенокосы, продук</w:t>
      </w:r>
      <w:r w:rsidRPr="005E0D5D">
        <w:t>тивность.</w:t>
      </w:r>
    </w:p>
    <w:p w:rsidR="006F2AA2" w:rsidRPr="00507025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Водные биоресурсы </w:t>
      </w:r>
    </w:p>
    <w:p w:rsidR="006F2AA2" w:rsidRDefault="006F2AA2" w:rsidP="006F2AA2"/>
    <w:p w:rsidR="00710959" w:rsidRPr="00710959" w:rsidRDefault="00710959" w:rsidP="00710959">
      <w:pPr>
        <w:rPr>
          <w:b/>
        </w:rPr>
      </w:pPr>
      <w:r w:rsidRPr="00710959">
        <w:rPr>
          <w:b/>
        </w:rPr>
        <w:t xml:space="preserve">Разработка маршрута плавания при контроле выполнения требований административного регламента в сфере охраны морских биологических ресурсов </w:t>
      </w:r>
    </w:p>
    <w:p w:rsidR="00710959" w:rsidRPr="00710959" w:rsidRDefault="00710959" w:rsidP="00710959">
      <w:r w:rsidRPr="00710959">
        <w:t xml:space="preserve">Ф.В. </w:t>
      </w:r>
      <w:proofErr w:type="spellStart"/>
      <w:r w:rsidRPr="00710959">
        <w:t>Рудкин</w:t>
      </w:r>
      <w:proofErr w:type="spellEnd"/>
      <w:r w:rsidRPr="00710959">
        <w:t xml:space="preserve">, Мурманский государственный технический университет </w:t>
      </w:r>
    </w:p>
    <w:p w:rsidR="00710959" w:rsidRPr="00710959" w:rsidRDefault="00710959" w:rsidP="00710959">
      <w:r w:rsidRPr="00710959">
        <w:t xml:space="preserve">Рассматривается специальный класс алгебраических структурных функций и их аргументы, которые могут быть использованы при составлении навигационного маршрута </w:t>
      </w:r>
      <w:r w:rsidRPr="00710959">
        <w:lastRenderedPageBreak/>
        <w:t xml:space="preserve">необходимого для реализации контроля в рамках административного регламента в сфере охраны морских биологических ресурсов. </w:t>
      </w:r>
    </w:p>
    <w:p w:rsidR="00710959" w:rsidRPr="00710959" w:rsidRDefault="00710959" w:rsidP="00710959">
      <w:r w:rsidRPr="00710959">
        <w:t>Ключевые слова: административный регламент, навигационный маршрут, структура, система, контроль.</w:t>
      </w:r>
    </w:p>
    <w:p w:rsidR="006F2AA2" w:rsidRPr="00507025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Климатические ресурсы </w:t>
      </w:r>
    </w:p>
    <w:p w:rsidR="006F2AA2" w:rsidRDefault="006F2AA2" w:rsidP="006F2AA2"/>
    <w:p w:rsidR="00710959" w:rsidRPr="00710959" w:rsidRDefault="00710959" w:rsidP="00710959">
      <w:pPr>
        <w:rPr>
          <w:b/>
        </w:rPr>
      </w:pPr>
      <w:r w:rsidRPr="00710959">
        <w:rPr>
          <w:b/>
        </w:rPr>
        <w:t xml:space="preserve">Адаптация к изменениям климата для сохранения </w:t>
      </w:r>
      <w:proofErr w:type="spellStart"/>
      <w:r w:rsidRPr="00710959">
        <w:rPr>
          <w:b/>
        </w:rPr>
        <w:t>биоразнообразия</w:t>
      </w:r>
      <w:proofErr w:type="spellEnd"/>
      <w:r w:rsidRPr="00710959">
        <w:rPr>
          <w:b/>
        </w:rPr>
        <w:t xml:space="preserve"> </w:t>
      </w:r>
    </w:p>
    <w:p w:rsidR="00710959" w:rsidRPr="00710959" w:rsidRDefault="00710959" w:rsidP="00710959">
      <w:proofErr w:type="gramStart"/>
      <w:r w:rsidRPr="00710959">
        <w:t xml:space="preserve">О.Н. Липка, к.г.н., А.О. </w:t>
      </w:r>
      <w:proofErr w:type="spellStart"/>
      <w:r w:rsidRPr="00710959">
        <w:t>Кокорин</w:t>
      </w:r>
      <w:proofErr w:type="spellEnd"/>
      <w:r w:rsidRPr="00710959">
        <w:t xml:space="preserve">, </w:t>
      </w:r>
      <w:proofErr w:type="spellStart"/>
      <w:r w:rsidRPr="00710959">
        <w:t>к.ф.-м.н</w:t>
      </w:r>
      <w:proofErr w:type="spellEnd"/>
      <w:r w:rsidRPr="00710959">
        <w:t xml:space="preserve">. WWF России </w:t>
      </w:r>
      <w:proofErr w:type="gramEnd"/>
    </w:p>
    <w:p w:rsidR="00710959" w:rsidRPr="00710959" w:rsidRDefault="00710959" w:rsidP="00710959">
      <w:r w:rsidRPr="00710959">
        <w:t xml:space="preserve">Представлен обзор основных понятий и характерных черт деятельности по адаптации к изменениям климата для сохранения </w:t>
      </w:r>
      <w:proofErr w:type="spellStart"/>
      <w:r w:rsidRPr="00710959">
        <w:t>биоразнообразия</w:t>
      </w:r>
      <w:proofErr w:type="spellEnd"/>
      <w:r w:rsidRPr="00710959">
        <w:t xml:space="preserve"> на глобальном, национальном, региональном и локальном уровнях. В адаптации для охраны природы новой является цель, но не методы: сохранение видов и предотвращение деградации экосистем в аномально быстро меняющихся природных условиях. При этом адаптировать</w:t>
      </w:r>
      <w:r>
        <w:t>ся необходимо не столько к повы</w:t>
      </w:r>
      <w:r w:rsidRPr="00710959">
        <w:t>шению температуры, сколько к опасным эффектам и метеорологическим явлениям, характерным для конкретной местности. Сформулированы выводы, показывающие, что адаптация для сохран</w:t>
      </w:r>
      <w:r>
        <w:t>ения видов и экосистем не проти</w:t>
      </w:r>
      <w:r w:rsidRPr="00710959">
        <w:t xml:space="preserve">воречит устойчивому развитию и потребностям людей в условиях изменяющегося климата. </w:t>
      </w:r>
    </w:p>
    <w:p w:rsidR="00710959" w:rsidRPr="00710959" w:rsidRDefault="00710959" w:rsidP="00710959">
      <w:r w:rsidRPr="00710959">
        <w:t>Ключевые слова: адаптация, изменение климата, биологическое разнообразие, устойчивое развитие.</w:t>
      </w:r>
    </w:p>
    <w:p w:rsidR="006F2AA2" w:rsidRPr="00507025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Рекреационные ресурсы и ООПТ </w:t>
      </w:r>
    </w:p>
    <w:p w:rsidR="006F2AA2" w:rsidRDefault="006F2AA2" w:rsidP="006F2AA2"/>
    <w:p w:rsidR="002E0125" w:rsidRPr="00C86DD0" w:rsidRDefault="002E0125" w:rsidP="002E0125">
      <w:pPr>
        <w:rPr>
          <w:b/>
        </w:rPr>
      </w:pPr>
      <w:proofErr w:type="gramStart"/>
      <w:r w:rsidRPr="00C86DD0">
        <w:rPr>
          <w:b/>
        </w:rPr>
        <w:t>Анализ развития рекреационных территорий Крыма (Окончание.</w:t>
      </w:r>
      <w:proofErr w:type="gramEnd"/>
      <w:r w:rsidRPr="00C86DD0">
        <w:rPr>
          <w:b/>
        </w:rPr>
        <w:t xml:space="preserve"> Начало в </w:t>
      </w:r>
      <w:proofErr w:type="spellStart"/>
      <w:r w:rsidRPr="00C86DD0">
        <w:rPr>
          <w:b/>
        </w:rPr>
        <w:t>бюлл</w:t>
      </w:r>
      <w:proofErr w:type="spellEnd"/>
      <w:r w:rsidRPr="00C86DD0">
        <w:rPr>
          <w:b/>
        </w:rPr>
        <w:t xml:space="preserve">. № 6) </w:t>
      </w:r>
    </w:p>
    <w:p w:rsidR="002E0125" w:rsidRDefault="002E0125" w:rsidP="002E0125">
      <w:r w:rsidRPr="002E0125">
        <w:t>И.Л. Прыгунова</w:t>
      </w:r>
      <w:proofErr w:type="gramStart"/>
      <w:r w:rsidRPr="002E0125">
        <w:rPr>
          <w:vertAlign w:val="superscript"/>
        </w:rPr>
        <w:t>1</w:t>
      </w:r>
      <w:proofErr w:type="gramEnd"/>
      <w:r w:rsidRPr="002E0125">
        <w:rPr>
          <w:vertAlign w:val="superscript"/>
        </w:rPr>
        <w:t>,3,4</w:t>
      </w:r>
      <w:r>
        <w:t>, к.г.н.</w:t>
      </w:r>
    </w:p>
    <w:p w:rsidR="002E0125" w:rsidRDefault="002E0125" w:rsidP="002E0125">
      <w:r w:rsidRPr="002E0125">
        <w:t>В.Б. Пышкин</w:t>
      </w:r>
      <w:proofErr w:type="gramStart"/>
      <w:r w:rsidRPr="002E0125">
        <w:rPr>
          <w:vertAlign w:val="superscript"/>
        </w:rPr>
        <w:t>1</w:t>
      </w:r>
      <w:proofErr w:type="gramEnd"/>
      <w:r w:rsidRPr="002E0125">
        <w:rPr>
          <w:vertAlign w:val="superscript"/>
        </w:rPr>
        <w:t>,2,4</w:t>
      </w:r>
      <w:r>
        <w:t>, к.б.н.</w:t>
      </w:r>
    </w:p>
    <w:p w:rsidR="002E0125" w:rsidRDefault="002E0125" w:rsidP="002E0125">
      <w:r w:rsidRPr="002E0125">
        <w:rPr>
          <w:vertAlign w:val="superscript"/>
        </w:rPr>
        <w:t>1</w:t>
      </w:r>
      <w:r w:rsidRPr="002E0125">
        <w:t>Филиал МГУ им. М</w:t>
      </w:r>
      <w:r>
        <w:t xml:space="preserve">.В. Ломоносова в </w:t>
      </w:r>
      <w:proofErr w:type="gramStart"/>
      <w:r>
        <w:t>г</w:t>
      </w:r>
      <w:proofErr w:type="gramEnd"/>
      <w:r>
        <w:t>. Севастополе</w:t>
      </w:r>
    </w:p>
    <w:p w:rsidR="002E0125" w:rsidRDefault="002E0125" w:rsidP="002E0125">
      <w:r w:rsidRPr="002E0125">
        <w:rPr>
          <w:vertAlign w:val="superscript"/>
        </w:rPr>
        <w:t>2</w:t>
      </w:r>
      <w:r w:rsidRPr="002E0125">
        <w:t xml:space="preserve">Таврическая академия Крымского федерального университета им. В.И. Вернадского </w:t>
      </w:r>
    </w:p>
    <w:p w:rsidR="002E0125" w:rsidRDefault="002E0125" w:rsidP="002E0125">
      <w:r w:rsidRPr="002E0125">
        <w:rPr>
          <w:vertAlign w:val="superscript"/>
        </w:rPr>
        <w:t>3</w:t>
      </w:r>
      <w:r w:rsidRPr="002E0125">
        <w:t>Институт п</w:t>
      </w:r>
      <w:r>
        <w:t>риродно-технических систем РАН</w:t>
      </w:r>
    </w:p>
    <w:p w:rsidR="002E0125" w:rsidRPr="002E0125" w:rsidRDefault="002E0125" w:rsidP="002E0125">
      <w:r w:rsidRPr="002E0125">
        <w:rPr>
          <w:vertAlign w:val="superscript"/>
        </w:rPr>
        <w:t>4</w:t>
      </w:r>
      <w:r w:rsidRPr="002E0125">
        <w:t>Крымское отделение Российской экологической академии</w:t>
      </w:r>
    </w:p>
    <w:p w:rsidR="006F2AA2" w:rsidRPr="00507025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Охрана окружающей среды </w:t>
      </w:r>
    </w:p>
    <w:p w:rsidR="006F2AA2" w:rsidRDefault="006F2AA2" w:rsidP="006F2AA2"/>
    <w:p w:rsidR="00C86DD0" w:rsidRPr="00C86DD0" w:rsidRDefault="00C86DD0" w:rsidP="00C86DD0">
      <w:pPr>
        <w:rPr>
          <w:b/>
        </w:rPr>
      </w:pPr>
      <w:r w:rsidRPr="00C86DD0">
        <w:rPr>
          <w:b/>
        </w:rPr>
        <w:t xml:space="preserve">Хлорорганические углеводороды в компонентах севастопольских бухт в начале XXI века </w:t>
      </w:r>
    </w:p>
    <w:p w:rsidR="00C86DD0" w:rsidRDefault="00C86DD0" w:rsidP="00C86DD0">
      <w:r w:rsidRPr="00C86DD0">
        <w:t>Л.В. Малахова</w:t>
      </w:r>
      <w:proofErr w:type="gramStart"/>
      <w:r w:rsidRPr="00C86DD0">
        <w:rPr>
          <w:vertAlign w:val="superscript"/>
        </w:rPr>
        <w:t>1</w:t>
      </w:r>
      <w:proofErr w:type="gramEnd"/>
      <w:r>
        <w:t>, к.б.н., с.н.с.</w:t>
      </w:r>
    </w:p>
    <w:p w:rsidR="00C86DD0" w:rsidRDefault="00C86DD0" w:rsidP="00C86DD0">
      <w:r w:rsidRPr="00C86DD0">
        <w:t>Т.В. Малахова</w:t>
      </w:r>
      <w:proofErr w:type="gramStart"/>
      <w:r w:rsidRPr="00C86DD0">
        <w:rPr>
          <w:vertAlign w:val="superscript"/>
        </w:rPr>
        <w:t>1</w:t>
      </w:r>
      <w:proofErr w:type="gramEnd"/>
      <w:r>
        <w:t>, к.б.н.</w:t>
      </w:r>
    </w:p>
    <w:p w:rsidR="00C86DD0" w:rsidRPr="00C86DD0" w:rsidRDefault="00C86DD0" w:rsidP="00C86DD0">
      <w:r w:rsidRPr="00C86DD0">
        <w:t>В.Н. Егоров</w:t>
      </w:r>
      <w:proofErr w:type="gramStart"/>
      <w:r w:rsidRPr="00C86DD0">
        <w:rPr>
          <w:vertAlign w:val="superscript"/>
        </w:rPr>
        <w:t>1</w:t>
      </w:r>
      <w:proofErr w:type="gramEnd"/>
      <w:r w:rsidRPr="00C86DD0">
        <w:t>, д.б.н., проф.</w:t>
      </w:r>
    </w:p>
    <w:p w:rsidR="00C86DD0" w:rsidRDefault="00C86DD0" w:rsidP="00C86DD0">
      <w:r w:rsidRPr="00C86DD0">
        <w:t>С.Б. Гулин</w:t>
      </w:r>
      <w:proofErr w:type="gramStart"/>
      <w:r w:rsidRPr="00C86DD0">
        <w:rPr>
          <w:vertAlign w:val="superscript"/>
        </w:rPr>
        <w:t>1</w:t>
      </w:r>
      <w:proofErr w:type="gramEnd"/>
      <w:r>
        <w:t>, д.б.н., проф.</w:t>
      </w:r>
    </w:p>
    <w:p w:rsidR="00C86DD0" w:rsidRDefault="00C86DD0" w:rsidP="00C86DD0">
      <w:r w:rsidRPr="00C86DD0">
        <w:t>И.Г. Сидоров</w:t>
      </w:r>
      <w:proofErr w:type="gramStart"/>
      <w:r w:rsidRPr="00C86DD0">
        <w:rPr>
          <w:vertAlign w:val="superscript"/>
        </w:rPr>
        <w:t>1</w:t>
      </w:r>
      <w:proofErr w:type="gramEnd"/>
      <w:r w:rsidRPr="00C86DD0">
        <w:t xml:space="preserve">, Е.И. </w:t>
      </w:r>
    </w:p>
    <w:p w:rsidR="00C86DD0" w:rsidRPr="00C86DD0" w:rsidRDefault="00C86DD0" w:rsidP="00C86DD0">
      <w:r w:rsidRPr="00C86DD0">
        <w:t>Игнатов</w:t>
      </w:r>
      <w:proofErr w:type="gramStart"/>
      <w:r w:rsidRPr="00C86DD0">
        <w:rPr>
          <w:vertAlign w:val="superscript"/>
        </w:rPr>
        <w:t>2</w:t>
      </w:r>
      <w:proofErr w:type="gramEnd"/>
      <w:r w:rsidRPr="00C86DD0">
        <w:rPr>
          <w:vertAlign w:val="superscript"/>
        </w:rPr>
        <w:t>,3</w:t>
      </w:r>
      <w:r w:rsidRPr="00C86DD0">
        <w:t xml:space="preserve">, д.г.н., проф., </w:t>
      </w:r>
    </w:p>
    <w:p w:rsidR="00C86DD0" w:rsidRPr="00C86DD0" w:rsidRDefault="00C86DD0" w:rsidP="00C86DD0">
      <w:r w:rsidRPr="00C86DD0">
        <w:rPr>
          <w:vertAlign w:val="superscript"/>
        </w:rPr>
        <w:t>1</w:t>
      </w:r>
      <w:r w:rsidRPr="00C86DD0">
        <w:t xml:space="preserve">Институт морских биологических исследований им. А.О. Ковалевского РАН </w:t>
      </w:r>
    </w:p>
    <w:p w:rsidR="00C86DD0" w:rsidRPr="00C86DD0" w:rsidRDefault="00C86DD0" w:rsidP="00C86DD0">
      <w:r w:rsidRPr="00C86DD0">
        <w:rPr>
          <w:vertAlign w:val="superscript"/>
        </w:rPr>
        <w:t>2</w:t>
      </w:r>
      <w:r w:rsidRPr="00C86DD0">
        <w:t xml:space="preserve">Черноморский филиал МГУ им. М.В. Ломоносова, Севастополь </w:t>
      </w:r>
    </w:p>
    <w:p w:rsidR="00C86DD0" w:rsidRPr="00C86DD0" w:rsidRDefault="00C86DD0" w:rsidP="00C86DD0">
      <w:r w:rsidRPr="00C86DD0">
        <w:rPr>
          <w:vertAlign w:val="superscript"/>
        </w:rPr>
        <w:t>3</w:t>
      </w:r>
      <w:r w:rsidRPr="00C86DD0">
        <w:t xml:space="preserve">Крымское отделение Российской экологической академии </w:t>
      </w:r>
    </w:p>
    <w:p w:rsidR="00C86DD0" w:rsidRPr="00C86DD0" w:rsidRDefault="00C86DD0" w:rsidP="00C86DD0">
      <w:r w:rsidRPr="00C86DD0">
        <w:t xml:space="preserve">Изучены особенности распределения </w:t>
      </w:r>
      <w:proofErr w:type="spellStart"/>
      <w:r w:rsidRPr="00C86DD0">
        <w:t>полихлорбифенилов</w:t>
      </w:r>
      <w:proofErr w:type="spellEnd"/>
      <w:r w:rsidRPr="00C86DD0">
        <w:t xml:space="preserve"> (ПХБ) и 1,1,1-трихлор-2,2-д</w:t>
      </w:r>
      <w:proofErr w:type="gramStart"/>
      <w:r w:rsidRPr="00C86DD0">
        <w:t>и(</w:t>
      </w:r>
      <w:proofErr w:type="spellStart"/>
      <w:proofErr w:type="gramEnd"/>
      <w:r w:rsidRPr="00C86DD0">
        <w:t>п-хлорфенил</w:t>
      </w:r>
      <w:proofErr w:type="spellEnd"/>
      <w:r w:rsidRPr="00C86DD0">
        <w:t xml:space="preserve">)этана (ДДТ) и его метаболитов ( ДДТ) в воде, гидробионтах и донных отложениях севастопольских бухт в 2002-2010 гг. В настоящее время концентрация хлорорганических соединений (ХОС) в воде акватории Севастополя снизилась на несколько порядков величин по сравнению с 80-ми гг., когда максимальный уровень ПХБ достигал 300 </w:t>
      </w:r>
      <w:proofErr w:type="spellStart"/>
      <w:r w:rsidRPr="00C86DD0">
        <w:t>нг</w:t>
      </w:r>
      <w:proofErr w:type="spellEnd"/>
      <w:r w:rsidRPr="00C86DD0">
        <w:t xml:space="preserve">/л. Высокое содержание ПХБ6 (до </w:t>
      </w:r>
      <w:proofErr w:type="gramStart"/>
      <w:r w:rsidRPr="00C86DD0">
        <w:t xml:space="preserve">234 </w:t>
      </w:r>
      <w:proofErr w:type="spellStart"/>
      <w:r w:rsidRPr="00C86DD0">
        <w:t>нг</w:t>
      </w:r>
      <w:proofErr w:type="spellEnd"/>
      <w:r w:rsidRPr="00C86DD0">
        <w:t xml:space="preserve">/г сухой массы) и ДДТ (до 64 </w:t>
      </w:r>
      <w:proofErr w:type="spellStart"/>
      <w:r w:rsidRPr="00C86DD0">
        <w:t>нг</w:t>
      </w:r>
      <w:proofErr w:type="spellEnd"/>
      <w:r w:rsidRPr="00C86DD0">
        <w:t>/г сухой массы) в</w:t>
      </w:r>
      <w:r>
        <w:t xml:space="preserve"> донных отложениях свя</w:t>
      </w:r>
      <w:r w:rsidRPr="00C86DD0">
        <w:t xml:space="preserve">зано, в первую очередь, с наличием источников поступления ПХБ и с </w:t>
      </w:r>
      <w:r w:rsidRPr="00C86DD0">
        <w:lastRenderedPageBreak/>
        <w:t>повышенным содержанием в осадках илистой фракции, накапливающей загрязнители.</w:t>
      </w:r>
      <w:proofErr w:type="gramEnd"/>
      <w:r w:rsidRPr="00C86DD0">
        <w:t xml:space="preserve"> Наблюдаемые флуктуации концентрации ПХБ5 </w:t>
      </w:r>
      <w:r>
        <w:t>в кернах донных отложе</w:t>
      </w:r>
      <w:r w:rsidRPr="00C86DD0">
        <w:t xml:space="preserve">ний Севастопольских бухт обусловлены различной степенью антропогенной нагрузки на её акваторию в минувшие десятилетия. </w:t>
      </w:r>
    </w:p>
    <w:p w:rsidR="00C86DD0" w:rsidRPr="00C86DD0" w:rsidRDefault="00C86DD0" w:rsidP="00C86DD0">
      <w:r w:rsidRPr="00C86DD0">
        <w:t xml:space="preserve">Ключевые слова: антропогенная нагрузка, </w:t>
      </w:r>
      <w:proofErr w:type="spellStart"/>
      <w:r w:rsidRPr="00C86DD0">
        <w:t>полихлорированные</w:t>
      </w:r>
      <w:proofErr w:type="spellEnd"/>
      <w:r w:rsidRPr="00C86DD0">
        <w:t xml:space="preserve"> </w:t>
      </w:r>
      <w:proofErr w:type="spellStart"/>
      <w:r w:rsidRPr="00C86DD0">
        <w:t>бифенилы</w:t>
      </w:r>
      <w:proofErr w:type="spellEnd"/>
      <w:r w:rsidRPr="00C86DD0">
        <w:t>, Д</w:t>
      </w:r>
      <w:r>
        <w:t>ДТ, мидии, донные отложения, се</w:t>
      </w:r>
      <w:r w:rsidRPr="00C86DD0">
        <w:t>вастопольские бухты.</w:t>
      </w:r>
    </w:p>
    <w:p w:rsidR="006F2AA2" w:rsidRPr="00507025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Геодезия и картография </w:t>
      </w:r>
    </w:p>
    <w:p w:rsidR="006F2AA2" w:rsidRDefault="006F2AA2" w:rsidP="006F2AA2"/>
    <w:p w:rsidR="00C22FCD" w:rsidRPr="00C22FCD" w:rsidRDefault="00C22FCD" w:rsidP="00C22FCD">
      <w:pPr>
        <w:rPr>
          <w:b/>
        </w:rPr>
      </w:pPr>
      <w:r w:rsidRPr="00C22FCD">
        <w:rPr>
          <w:b/>
        </w:rPr>
        <w:t xml:space="preserve">Природные и антропогенные факторы среды и здоровье детей Крыма </w:t>
      </w:r>
    </w:p>
    <w:p w:rsidR="00C22FCD" w:rsidRDefault="00C22FCD" w:rsidP="00C22FCD">
      <w:r w:rsidRPr="00C22FCD">
        <w:t>Е.И. Игнатов</w:t>
      </w:r>
      <w:proofErr w:type="gramStart"/>
      <w:r w:rsidRPr="00C22FCD">
        <w:rPr>
          <w:vertAlign w:val="superscript"/>
        </w:rPr>
        <w:t>1</w:t>
      </w:r>
      <w:proofErr w:type="gramEnd"/>
      <w:r w:rsidRPr="00C22FCD">
        <w:rPr>
          <w:vertAlign w:val="superscript"/>
        </w:rPr>
        <w:t>,2</w:t>
      </w:r>
      <w:r>
        <w:t>, д.г.н., проф.</w:t>
      </w:r>
    </w:p>
    <w:p w:rsidR="00C22FCD" w:rsidRDefault="00C22FCD" w:rsidP="00C22FCD">
      <w:r w:rsidRPr="00C22FCD">
        <w:t>Е.В. Ясенева</w:t>
      </w:r>
      <w:proofErr w:type="gramStart"/>
      <w:r w:rsidRPr="00C22FCD">
        <w:rPr>
          <w:vertAlign w:val="superscript"/>
        </w:rPr>
        <w:t>1</w:t>
      </w:r>
      <w:proofErr w:type="gramEnd"/>
      <w:r>
        <w:t>, к.г.н.</w:t>
      </w:r>
    </w:p>
    <w:p w:rsidR="00C22FCD" w:rsidRPr="00C22FCD" w:rsidRDefault="00C22FCD" w:rsidP="00C22FCD">
      <w:r w:rsidRPr="00C22FCD">
        <w:t>И.А. Ясенева</w:t>
      </w:r>
      <w:proofErr w:type="gramStart"/>
      <w:r w:rsidRPr="00C22FCD">
        <w:rPr>
          <w:vertAlign w:val="superscript"/>
        </w:rPr>
        <w:t>1</w:t>
      </w:r>
      <w:proofErr w:type="gramEnd"/>
      <w:r w:rsidRPr="00C22FCD">
        <w:t xml:space="preserve"> </w:t>
      </w:r>
    </w:p>
    <w:p w:rsidR="00C22FCD" w:rsidRPr="00C22FCD" w:rsidRDefault="00C22FCD" w:rsidP="00C22FCD">
      <w:r w:rsidRPr="00C22FCD">
        <w:rPr>
          <w:vertAlign w:val="superscript"/>
        </w:rPr>
        <w:t>1</w:t>
      </w:r>
      <w:r w:rsidRPr="00C22FCD">
        <w:t xml:space="preserve">Черноморский филиал МГУ им. М.В. Ломоносова, Севастополь </w:t>
      </w:r>
    </w:p>
    <w:p w:rsidR="00C22FCD" w:rsidRPr="00C22FCD" w:rsidRDefault="00C22FCD" w:rsidP="00C22FCD">
      <w:r w:rsidRPr="00C22FCD">
        <w:rPr>
          <w:vertAlign w:val="superscript"/>
        </w:rPr>
        <w:t>2</w:t>
      </w:r>
      <w:r w:rsidRPr="00C22FCD">
        <w:t xml:space="preserve">Крымское отделение Российской экологической академии </w:t>
      </w:r>
    </w:p>
    <w:p w:rsidR="00C22FCD" w:rsidRPr="00C22FCD" w:rsidRDefault="00C22FCD" w:rsidP="00C22FCD">
      <w:r w:rsidRPr="00C22FCD">
        <w:t xml:space="preserve">По результатам заболеваемости в географическом срезе показано, что в уровне заболеваемости по различным нозологическим формам в Крыму наблюдается значительная территориальная дифференциация. Для улучшения здоровья населения в Крыму необходимо продолжить исследования по выявлению корреляционных связей между состоянием окружающей среды и напряжением регуляторных механизмов, заболеваемостью, продолжительностью жизни и уровнем общефизического развития, особенно детей и </w:t>
      </w:r>
      <w:proofErr w:type="spellStart"/>
      <w:r w:rsidRPr="00C22FCD">
        <w:t>продростков</w:t>
      </w:r>
      <w:proofErr w:type="spellEnd"/>
      <w:r w:rsidRPr="00C22FCD">
        <w:t xml:space="preserve">. </w:t>
      </w:r>
    </w:p>
    <w:p w:rsidR="00C86DD0" w:rsidRPr="00C22FCD" w:rsidRDefault="00C22FCD" w:rsidP="00C22FCD">
      <w:r w:rsidRPr="00C22FCD">
        <w:t>Ключевые слова: окружающая среда, здоровье человека, мониторинг окружающе</w:t>
      </w:r>
      <w:r>
        <w:t>й природной среды, экологиче</w:t>
      </w:r>
      <w:r w:rsidRPr="00C22FCD">
        <w:t>ская ситуация, анализ медико-экологической ситуации, детская заболеваемость, ранжирование территорий.</w:t>
      </w:r>
    </w:p>
    <w:p w:rsidR="006F2AA2" w:rsidRPr="00507025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ПРИРОДА и ОБЩЕСТВО </w:t>
      </w:r>
    </w:p>
    <w:p w:rsidR="006F2AA2" w:rsidRPr="00507025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Юбилеи </w:t>
      </w:r>
    </w:p>
    <w:p w:rsidR="006F2AA2" w:rsidRDefault="006F2AA2" w:rsidP="006F2AA2"/>
    <w:p w:rsidR="00C22FCD" w:rsidRPr="00C22FCD" w:rsidRDefault="00C22FCD" w:rsidP="00C22FCD">
      <w:pPr>
        <w:rPr>
          <w:b/>
        </w:rPr>
      </w:pPr>
      <w:r w:rsidRPr="00C22FCD">
        <w:rPr>
          <w:b/>
        </w:rPr>
        <w:t xml:space="preserve">Добрая воля, просвещенный взгляд на дело и любовь к Земле (к 170-летию В.В. Докучаева) </w:t>
      </w:r>
    </w:p>
    <w:p w:rsidR="00C22FCD" w:rsidRDefault="00C22FCD" w:rsidP="00C22FCD">
      <w:r w:rsidRPr="00C22FCD">
        <w:t>С.Ю. Ливанцова</w:t>
      </w:r>
      <w:proofErr w:type="gramStart"/>
      <w:r w:rsidRPr="00C22FCD">
        <w:rPr>
          <w:vertAlign w:val="superscript"/>
        </w:rPr>
        <w:t>1</w:t>
      </w:r>
      <w:proofErr w:type="gramEnd"/>
    </w:p>
    <w:p w:rsidR="00C22FCD" w:rsidRDefault="00C22FCD" w:rsidP="00C22FCD">
      <w:r w:rsidRPr="00C22FCD">
        <w:t>Ю.И. Максимов</w:t>
      </w:r>
      <w:proofErr w:type="gramStart"/>
      <w:r w:rsidRPr="00C22FCD">
        <w:rPr>
          <w:vertAlign w:val="superscript"/>
        </w:rPr>
        <w:t>1</w:t>
      </w:r>
      <w:proofErr w:type="gramEnd"/>
    </w:p>
    <w:p w:rsidR="00C22FCD" w:rsidRDefault="00C22FCD" w:rsidP="00C22FCD">
      <w:r w:rsidRPr="00C22FCD">
        <w:t>Н.Г. Рыбальский</w:t>
      </w:r>
      <w:proofErr w:type="gramStart"/>
      <w:r w:rsidRPr="00C22FCD">
        <w:rPr>
          <w:vertAlign w:val="superscript"/>
        </w:rPr>
        <w:t>2</w:t>
      </w:r>
      <w:proofErr w:type="gramEnd"/>
      <w:r w:rsidRPr="00C22FCD">
        <w:rPr>
          <w:vertAlign w:val="superscript"/>
        </w:rPr>
        <w:t>,4</w:t>
      </w:r>
    </w:p>
    <w:p w:rsidR="00C22FCD" w:rsidRPr="00C22FCD" w:rsidRDefault="00C22FCD" w:rsidP="00C22FCD">
      <w:r w:rsidRPr="00C22FCD">
        <w:t>В.В. Снакин</w:t>
      </w:r>
      <w:proofErr w:type="gramStart"/>
      <w:r w:rsidRPr="00C22FCD">
        <w:rPr>
          <w:vertAlign w:val="superscript"/>
        </w:rPr>
        <w:t>1</w:t>
      </w:r>
      <w:proofErr w:type="gramEnd"/>
      <w:r w:rsidRPr="00C22FCD">
        <w:rPr>
          <w:vertAlign w:val="superscript"/>
        </w:rPr>
        <w:t>,3,4</w:t>
      </w:r>
      <w:r w:rsidRPr="00C22FCD">
        <w:t xml:space="preserve"> </w:t>
      </w:r>
    </w:p>
    <w:p w:rsidR="00C22FCD" w:rsidRPr="00C22FCD" w:rsidRDefault="00C22FCD" w:rsidP="00C22FCD">
      <w:r w:rsidRPr="00C22FCD">
        <w:rPr>
          <w:vertAlign w:val="superscript"/>
        </w:rPr>
        <w:t>1</w:t>
      </w:r>
      <w:r w:rsidRPr="00C22FCD">
        <w:t>Музей землев</w:t>
      </w:r>
      <w:r>
        <w:t>едения МГУ им. М.В. Ломоносова</w:t>
      </w:r>
    </w:p>
    <w:p w:rsidR="00C22FCD" w:rsidRPr="00C22FCD" w:rsidRDefault="00C22FCD" w:rsidP="00C22FCD">
      <w:r w:rsidRPr="00C22FCD">
        <w:rPr>
          <w:vertAlign w:val="superscript"/>
        </w:rPr>
        <w:t>2</w:t>
      </w:r>
      <w:r w:rsidRPr="00C22FCD">
        <w:t>Национальное информационное агентство «Природные ресурсы» (</w:t>
      </w:r>
      <w:proofErr w:type="spellStart"/>
      <w:r w:rsidRPr="00C22FCD">
        <w:t>НИА-Природа</w:t>
      </w:r>
      <w:proofErr w:type="spellEnd"/>
      <w:r w:rsidRPr="00C22FCD">
        <w:t xml:space="preserve">) </w:t>
      </w:r>
    </w:p>
    <w:p w:rsidR="00C22FCD" w:rsidRPr="00C22FCD" w:rsidRDefault="00C22FCD" w:rsidP="00C22FCD">
      <w:r w:rsidRPr="00C22FCD">
        <w:rPr>
          <w:vertAlign w:val="superscript"/>
        </w:rPr>
        <w:t>3</w:t>
      </w:r>
      <w:r w:rsidRPr="00C22FCD">
        <w:t xml:space="preserve">Институт фундаментальных проблем биологии РАН </w:t>
      </w:r>
    </w:p>
    <w:p w:rsidR="00C22FCD" w:rsidRPr="00C22FCD" w:rsidRDefault="00C22FCD" w:rsidP="00C22FCD">
      <w:r w:rsidRPr="00C22FCD">
        <w:rPr>
          <w:vertAlign w:val="superscript"/>
        </w:rPr>
        <w:t>4</w:t>
      </w:r>
      <w:r w:rsidRPr="00C22FCD">
        <w:t>Президиум Российской экологической академии</w:t>
      </w:r>
    </w:p>
    <w:p w:rsidR="006F2AA2" w:rsidRPr="00507025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Международный опыт </w:t>
      </w:r>
    </w:p>
    <w:p w:rsidR="006F2AA2" w:rsidRDefault="006F2AA2" w:rsidP="006F2AA2"/>
    <w:p w:rsidR="00E81BF0" w:rsidRPr="00E81BF0" w:rsidRDefault="00E81BF0" w:rsidP="00E81BF0">
      <w:pPr>
        <w:rPr>
          <w:b/>
        </w:rPr>
      </w:pPr>
      <w:proofErr w:type="gramStart"/>
      <w:r w:rsidRPr="00E81BF0">
        <w:rPr>
          <w:b/>
        </w:rPr>
        <w:t>Государственная экологическая политика Новой Зеландии (Окончание.</w:t>
      </w:r>
      <w:proofErr w:type="gramEnd"/>
      <w:r w:rsidRPr="00E81BF0">
        <w:rPr>
          <w:b/>
        </w:rPr>
        <w:t xml:space="preserve"> </w:t>
      </w:r>
      <w:proofErr w:type="gramStart"/>
      <w:r w:rsidRPr="00E81BF0">
        <w:rPr>
          <w:b/>
        </w:rPr>
        <w:t xml:space="preserve">Начало в бюллетене №6 2015 г.) </w:t>
      </w:r>
      <w:proofErr w:type="gramEnd"/>
    </w:p>
    <w:p w:rsidR="00C22FCD" w:rsidRPr="00E81BF0" w:rsidRDefault="00E81BF0" w:rsidP="00E81BF0">
      <w:r w:rsidRPr="00E81BF0">
        <w:t xml:space="preserve">А.Ю. Кузьминов, </w:t>
      </w:r>
      <w:proofErr w:type="gramStart"/>
      <w:r w:rsidRPr="00E81BF0">
        <w:t>к.б</w:t>
      </w:r>
      <w:proofErr w:type="gramEnd"/>
      <w:r w:rsidRPr="00E81BF0">
        <w:t>.н., Институт природных вод Новой Зеландии</w:t>
      </w:r>
    </w:p>
    <w:p w:rsidR="006F2AA2" w:rsidRPr="00507025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Общественность и природа </w:t>
      </w:r>
    </w:p>
    <w:p w:rsidR="006F2AA2" w:rsidRDefault="006F2AA2" w:rsidP="006F2AA2"/>
    <w:p w:rsidR="00E81BF0" w:rsidRPr="00E81BF0" w:rsidRDefault="00E81BF0" w:rsidP="00E81BF0">
      <w:pPr>
        <w:rPr>
          <w:b/>
        </w:rPr>
      </w:pPr>
      <w:r w:rsidRPr="00E81BF0">
        <w:rPr>
          <w:b/>
        </w:rPr>
        <w:t xml:space="preserve">Степи Евразии: этапы освоения и результаты </w:t>
      </w:r>
    </w:p>
    <w:p w:rsidR="00E81BF0" w:rsidRPr="00E81BF0" w:rsidRDefault="00E81BF0" w:rsidP="00E81BF0">
      <w:r w:rsidRPr="00E81BF0">
        <w:t xml:space="preserve">А.И. Климентьев, </w:t>
      </w:r>
      <w:proofErr w:type="spellStart"/>
      <w:r w:rsidRPr="00E81BF0">
        <w:t>д.с.-х.н</w:t>
      </w:r>
      <w:proofErr w:type="spellEnd"/>
      <w:r w:rsidRPr="00E81BF0">
        <w:t xml:space="preserve">., Институт степи </w:t>
      </w:r>
      <w:proofErr w:type="spellStart"/>
      <w:r w:rsidRPr="00E81BF0">
        <w:t>УрО</w:t>
      </w:r>
      <w:proofErr w:type="spellEnd"/>
      <w:r w:rsidRPr="00E81BF0">
        <w:t xml:space="preserve"> РАН </w:t>
      </w:r>
    </w:p>
    <w:p w:rsidR="00E81BF0" w:rsidRPr="00E81BF0" w:rsidRDefault="00E81BF0" w:rsidP="00E81BF0">
      <w:r w:rsidRPr="00E81BF0">
        <w:lastRenderedPageBreak/>
        <w:t xml:space="preserve">Рассмотрены этапы и результаты освоения степей Евразии и Согласно Концепции этногенеза Л.Н. Гумилева рассмотрены три этноса – </w:t>
      </w:r>
      <w:proofErr w:type="spellStart"/>
      <w:r w:rsidRPr="00E81BF0">
        <w:t>хунны-гунны</w:t>
      </w:r>
      <w:proofErr w:type="spellEnd"/>
      <w:r w:rsidRPr="00E81BF0">
        <w:t xml:space="preserve">, тюрки и монголы, для которых Великая </w:t>
      </w:r>
      <w:r>
        <w:t>степь служила экономической баз</w:t>
      </w:r>
      <w:r w:rsidRPr="00E81BF0">
        <w:t xml:space="preserve">ой, хозяйственная деятельность их и последующих после них народов и государств оказала определенное влияние на естественное состояние компонентов </w:t>
      </w:r>
      <w:proofErr w:type="spellStart"/>
      <w:r w:rsidRPr="00E81BF0">
        <w:t>геоэкосистем</w:t>
      </w:r>
      <w:proofErr w:type="spellEnd"/>
      <w:r w:rsidRPr="00E81BF0">
        <w:t>: лесов и почв. Уделено вн</w:t>
      </w:r>
      <w:r>
        <w:t>имание нашествию (набегу) монго</w:t>
      </w:r>
      <w:r w:rsidRPr="00E81BF0">
        <w:t xml:space="preserve">лов на Русь, негативное и позитивное влияние его на русскую самобытность, соединившую в себе элементы Востока и Запада, что затем материализовалось в практике Российского государства. Развитие человеческой цивилизации определяется в значительной степени природным «кормящим» ландшафтом. Отмечается, что сама история диктует неумолимые законы, в значительной мере колирующие природные законы биосферы и ноосферы </w:t>
      </w:r>
    </w:p>
    <w:p w:rsidR="00E81BF0" w:rsidRPr="00E81BF0" w:rsidRDefault="00E81BF0" w:rsidP="00E81BF0">
      <w:r w:rsidRPr="00E81BF0">
        <w:t xml:space="preserve">Ключевые слова: </w:t>
      </w:r>
      <w:proofErr w:type="gramStart"/>
      <w:r w:rsidRPr="00E81BF0">
        <w:t>Великая степь, этногенез Л.Н. Гумилева, гунны, тюрки, мон</w:t>
      </w:r>
      <w:r>
        <w:t>голы, русская самобытность, при</w:t>
      </w:r>
      <w:r w:rsidRPr="00E81BF0">
        <w:t>родный «кормящий» ландшафт, природные ресурсы.</w:t>
      </w:r>
      <w:proofErr w:type="gramEnd"/>
    </w:p>
    <w:p w:rsidR="006F2AA2" w:rsidRPr="00507025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Календарь событий </w:t>
      </w:r>
    </w:p>
    <w:p w:rsidR="006F2AA2" w:rsidRDefault="006F2AA2" w:rsidP="006F2AA2"/>
    <w:p w:rsidR="006F2AA2" w:rsidRPr="00507025" w:rsidRDefault="008762CF" w:rsidP="006F2AA2">
      <w:r>
        <w:rPr>
          <w:rStyle w:val="A9"/>
        </w:rPr>
        <w:t>Международные, всероссийские и региональные научные и научно-технические совещания, конференции, симпозиумы, съезды, семинары, школы и выставки природно-ресурсной и природоохранной направленности (май, 2016 г.)</w:t>
      </w:r>
    </w:p>
    <w:p w:rsidR="006F2AA2" w:rsidRDefault="006F2AA2" w:rsidP="006F2AA2"/>
    <w:p w:rsidR="006F2AA2" w:rsidRDefault="006F2AA2" w:rsidP="006F2AA2"/>
    <w:p w:rsidR="006F2AA2" w:rsidRPr="00805AC9" w:rsidRDefault="006F2AA2" w:rsidP="006F2AA2"/>
    <w:p w:rsidR="00380CB3" w:rsidRDefault="00380CB3"/>
    <w:sectPr w:rsidR="00380CB3" w:rsidSect="00E72E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TextBookC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PragmaticaC">
    <w:altName w:val="PragmaticaC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F2AA2"/>
    <w:rsid w:val="00000898"/>
    <w:rsid w:val="000111DF"/>
    <w:rsid w:val="000119D1"/>
    <w:rsid w:val="00017304"/>
    <w:rsid w:val="00023BBD"/>
    <w:rsid w:val="000315DC"/>
    <w:rsid w:val="00083532"/>
    <w:rsid w:val="000A7409"/>
    <w:rsid w:val="000B18D3"/>
    <w:rsid w:val="000D066F"/>
    <w:rsid w:val="000F0BA9"/>
    <w:rsid w:val="00136980"/>
    <w:rsid w:val="00136FDF"/>
    <w:rsid w:val="001403A3"/>
    <w:rsid w:val="00144A85"/>
    <w:rsid w:val="00147517"/>
    <w:rsid w:val="001503AE"/>
    <w:rsid w:val="00154099"/>
    <w:rsid w:val="00166519"/>
    <w:rsid w:val="001669FB"/>
    <w:rsid w:val="0016765B"/>
    <w:rsid w:val="00186F4C"/>
    <w:rsid w:val="001954EA"/>
    <w:rsid w:val="001B0150"/>
    <w:rsid w:val="001B5213"/>
    <w:rsid w:val="001B6ABA"/>
    <w:rsid w:val="001C05A8"/>
    <w:rsid w:val="00204131"/>
    <w:rsid w:val="002164E7"/>
    <w:rsid w:val="00231083"/>
    <w:rsid w:val="00231A2A"/>
    <w:rsid w:val="002335AC"/>
    <w:rsid w:val="0024464F"/>
    <w:rsid w:val="00245755"/>
    <w:rsid w:val="002658DF"/>
    <w:rsid w:val="00266185"/>
    <w:rsid w:val="002671A8"/>
    <w:rsid w:val="00290442"/>
    <w:rsid w:val="002966BD"/>
    <w:rsid w:val="002B1FEE"/>
    <w:rsid w:val="002C6269"/>
    <w:rsid w:val="002D6D20"/>
    <w:rsid w:val="002E0125"/>
    <w:rsid w:val="002E5E15"/>
    <w:rsid w:val="00304692"/>
    <w:rsid w:val="00326832"/>
    <w:rsid w:val="0034135F"/>
    <w:rsid w:val="00356190"/>
    <w:rsid w:val="0036623C"/>
    <w:rsid w:val="00380CB3"/>
    <w:rsid w:val="003822CB"/>
    <w:rsid w:val="00383918"/>
    <w:rsid w:val="003845C0"/>
    <w:rsid w:val="003901CE"/>
    <w:rsid w:val="00393CC8"/>
    <w:rsid w:val="0039407F"/>
    <w:rsid w:val="003A3429"/>
    <w:rsid w:val="003C339B"/>
    <w:rsid w:val="003D5E61"/>
    <w:rsid w:val="003E4321"/>
    <w:rsid w:val="003F569B"/>
    <w:rsid w:val="004133F8"/>
    <w:rsid w:val="00426A79"/>
    <w:rsid w:val="00483F77"/>
    <w:rsid w:val="004A490A"/>
    <w:rsid w:val="004B2DFC"/>
    <w:rsid w:val="004C4F80"/>
    <w:rsid w:val="004D699B"/>
    <w:rsid w:val="00515F8A"/>
    <w:rsid w:val="00521AEF"/>
    <w:rsid w:val="00525657"/>
    <w:rsid w:val="005262E9"/>
    <w:rsid w:val="005434F0"/>
    <w:rsid w:val="005504A9"/>
    <w:rsid w:val="00551872"/>
    <w:rsid w:val="005520DA"/>
    <w:rsid w:val="005A49A5"/>
    <w:rsid w:val="005A6512"/>
    <w:rsid w:val="005A760A"/>
    <w:rsid w:val="005C6B5D"/>
    <w:rsid w:val="005D1EF9"/>
    <w:rsid w:val="005D2CC7"/>
    <w:rsid w:val="005E0D5D"/>
    <w:rsid w:val="005E29A9"/>
    <w:rsid w:val="005F041C"/>
    <w:rsid w:val="005F7DC6"/>
    <w:rsid w:val="00622166"/>
    <w:rsid w:val="00653CF1"/>
    <w:rsid w:val="00655D0F"/>
    <w:rsid w:val="00657D53"/>
    <w:rsid w:val="00661113"/>
    <w:rsid w:val="0066364C"/>
    <w:rsid w:val="00674BE5"/>
    <w:rsid w:val="00676DBD"/>
    <w:rsid w:val="00687821"/>
    <w:rsid w:val="00690B64"/>
    <w:rsid w:val="00694B49"/>
    <w:rsid w:val="006B1249"/>
    <w:rsid w:val="006B5947"/>
    <w:rsid w:val="006C4DB2"/>
    <w:rsid w:val="006C59FB"/>
    <w:rsid w:val="006D0130"/>
    <w:rsid w:val="006E1EB7"/>
    <w:rsid w:val="006F2AA2"/>
    <w:rsid w:val="00710959"/>
    <w:rsid w:val="00722E58"/>
    <w:rsid w:val="007304B9"/>
    <w:rsid w:val="0073706B"/>
    <w:rsid w:val="00744925"/>
    <w:rsid w:val="00744D45"/>
    <w:rsid w:val="0075774A"/>
    <w:rsid w:val="00763AE9"/>
    <w:rsid w:val="00766878"/>
    <w:rsid w:val="00781C8F"/>
    <w:rsid w:val="00787C9A"/>
    <w:rsid w:val="00796DF7"/>
    <w:rsid w:val="007A755A"/>
    <w:rsid w:val="007A7AB2"/>
    <w:rsid w:val="007B6D35"/>
    <w:rsid w:val="007B6F67"/>
    <w:rsid w:val="007B7B0E"/>
    <w:rsid w:val="007C04EB"/>
    <w:rsid w:val="00807A71"/>
    <w:rsid w:val="008111A3"/>
    <w:rsid w:val="00827F23"/>
    <w:rsid w:val="00831815"/>
    <w:rsid w:val="0084207A"/>
    <w:rsid w:val="00853902"/>
    <w:rsid w:val="00870768"/>
    <w:rsid w:val="008738FC"/>
    <w:rsid w:val="008762CF"/>
    <w:rsid w:val="00880D3E"/>
    <w:rsid w:val="00885B1D"/>
    <w:rsid w:val="00886A68"/>
    <w:rsid w:val="00894F76"/>
    <w:rsid w:val="008A0E6E"/>
    <w:rsid w:val="008C3E0F"/>
    <w:rsid w:val="008D08DD"/>
    <w:rsid w:val="008E7344"/>
    <w:rsid w:val="008F29AB"/>
    <w:rsid w:val="0092002B"/>
    <w:rsid w:val="00931238"/>
    <w:rsid w:val="0093628C"/>
    <w:rsid w:val="00947EDC"/>
    <w:rsid w:val="009766EA"/>
    <w:rsid w:val="00981BEE"/>
    <w:rsid w:val="0098588B"/>
    <w:rsid w:val="00995D0A"/>
    <w:rsid w:val="009B32EE"/>
    <w:rsid w:val="009D24A2"/>
    <w:rsid w:val="009D4AB4"/>
    <w:rsid w:val="009D517D"/>
    <w:rsid w:val="009D66F7"/>
    <w:rsid w:val="00A137D5"/>
    <w:rsid w:val="00A1681C"/>
    <w:rsid w:val="00A209E6"/>
    <w:rsid w:val="00A21F46"/>
    <w:rsid w:val="00A23EE7"/>
    <w:rsid w:val="00A246C5"/>
    <w:rsid w:val="00A3211C"/>
    <w:rsid w:val="00A52CF4"/>
    <w:rsid w:val="00A72FF9"/>
    <w:rsid w:val="00A773EB"/>
    <w:rsid w:val="00A9282F"/>
    <w:rsid w:val="00AA5812"/>
    <w:rsid w:val="00AC4E9B"/>
    <w:rsid w:val="00AD47A2"/>
    <w:rsid w:val="00B019EB"/>
    <w:rsid w:val="00B163D4"/>
    <w:rsid w:val="00B16EC6"/>
    <w:rsid w:val="00B3424D"/>
    <w:rsid w:val="00B45464"/>
    <w:rsid w:val="00B46C2D"/>
    <w:rsid w:val="00B47A76"/>
    <w:rsid w:val="00B513BA"/>
    <w:rsid w:val="00B65AEB"/>
    <w:rsid w:val="00B773CA"/>
    <w:rsid w:val="00B81626"/>
    <w:rsid w:val="00B86BB4"/>
    <w:rsid w:val="00B91B3D"/>
    <w:rsid w:val="00BC2CCB"/>
    <w:rsid w:val="00BC5218"/>
    <w:rsid w:val="00BE7BFB"/>
    <w:rsid w:val="00C019F4"/>
    <w:rsid w:val="00C15257"/>
    <w:rsid w:val="00C22FCD"/>
    <w:rsid w:val="00C26E99"/>
    <w:rsid w:val="00C33777"/>
    <w:rsid w:val="00C45F18"/>
    <w:rsid w:val="00C472AF"/>
    <w:rsid w:val="00C56BAF"/>
    <w:rsid w:val="00C82629"/>
    <w:rsid w:val="00C86DD0"/>
    <w:rsid w:val="00CA015A"/>
    <w:rsid w:val="00CB40BE"/>
    <w:rsid w:val="00CC078F"/>
    <w:rsid w:val="00CC2271"/>
    <w:rsid w:val="00CC27E9"/>
    <w:rsid w:val="00CD0388"/>
    <w:rsid w:val="00D029D8"/>
    <w:rsid w:val="00D03AB7"/>
    <w:rsid w:val="00D05B31"/>
    <w:rsid w:val="00D44F81"/>
    <w:rsid w:val="00D46654"/>
    <w:rsid w:val="00D565FA"/>
    <w:rsid w:val="00D5677E"/>
    <w:rsid w:val="00D669DE"/>
    <w:rsid w:val="00D70F1D"/>
    <w:rsid w:val="00D75117"/>
    <w:rsid w:val="00D75C23"/>
    <w:rsid w:val="00D95B63"/>
    <w:rsid w:val="00DA06CA"/>
    <w:rsid w:val="00DC426D"/>
    <w:rsid w:val="00DC5B1F"/>
    <w:rsid w:val="00DD4DE7"/>
    <w:rsid w:val="00DF3D62"/>
    <w:rsid w:val="00E2738E"/>
    <w:rsid w:val="00E31117"/>
    <w:rsid w:val="00E32C93"/>
    <w:rsid w:val="00E33121"/>
    <w:rsid w:val="00E369B6"/>
    <w:rsid w:val="00E470F1"/>
    <w:rsid w:val="00E66085"/>
    <w:rsid w:val="00E67B15"/>
    <w:rsid w:val="00E750ED"/>
    <w:rsid w:val="00E81BF0"/>
    <w:rsid w:val="00E863A2"/>
    <w:rsid w:val="00E92A25"/>
    <w:rsid w:val="00E95DBD"/>
    <w:rsid w:val="00E95DC3"/>
    <w:rsid w:val="00ED1F28"/>
    <w:rsid w:val="00ED2083"/>
    <w:rsid w:val="00ED4828"/>
    <w:rsid w:val="00ED7FD5"/>
    <w:rsid w:val="00F0328A"/>
    <w:rsid w:val="00F06843"/>
    <w:rsid w:val="00F14962"/>
    <w:rsid w:val="00F418C9"/>
    <w:rsid w:val="00F453B1"/>
    <w:rsid w:val="00F522CB"/>
    <w:rsid w:val="00F735DB"/>
    <w:rsid w:val="00F83B29"/>
    <w:rsid w:val="00F86987"/>
    <w:rsid w:val="00FA70FE"/>
    <w:rsid w:val="00FC0F8E"/>
    <w:rsid w:val="00FC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A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5464"/>
    <w:pPr>
      <w:contextualSpacing/>
    </w:pPr>
    <w:rPr>
      <w:rFonts w:eastAsia="Times New Roman"/>
    </w:rPr>
  </w:style>
  <w:style w:type="paragraph" w:customStyle="1" w:styleId="Default">
    <w:name w:val="Default"/>
    <w:rsid w:val="006F2AA2"/>
    <w:pPr>
      <w:autoSpaceDE w:val="0"/>
      <w:autoSpaceDN w:val="0"/>
      <w:adjustRightInd w:val="0"/>
      <w:ind w:firstLine="0"/>
      <w:jc w:val="left"/>
    </w:pPr>
    <w:rPr>
      <w:rFonts w:ascii="TextBookC" w:hAnsi="TextBookC" w:cs="TextBookC"/>
      <w:color w:val="000000"/>
      <w:sz w:val="24"/>
      <w:szCs w:val="24"/>
    </w:rPr>
  </w:style>
  <w:style w:type="character" w:customStyle="1" w:styleId="A00">
    <w:name w:val="A0"/>
    <w:uiPriority w:val="99"/>
    <w:rsid w:val="006F2AA2"/>
    <w:rPr>
      <w:rFonts w:cs="TextBookC"/>
      <w:i/>
      <w:iCs/>
      <w:color w:val="221E1F"/>
      <w:sz w:val="20"/>
      <w:szCs w:val="20"/>
    </w:rPr>
  </w:style>
  <w:style w:type="character" w:customStyle="1" w:styleId="A12">
    <w:name w:val="A12"/>
    <w:uiPriority w:val="99"/>
    <w:rsid w:val="006F2AA2"/>
    <w:rPr>
      <w:rFonts w:cs="TextBookC"/>
      <w:i/>
      <w:iCs/>
      <w:color w:val="221E1F"/>
      <w:sz w:val="11"/>
      <w:szCs w:val="11"/>
    </w:rPr>
  </w:style>
  <w:style w:type="character" w:customStyle="1" w:styleId="A7">
    <w:name w:val="A7"/>
    <w:uiPriority w:val="99"/>
    <w:rsid w:val="006F2AA2"/>
    <w:rPr>
      <w:rFonts w:ascii="PetersburgC" w:hAnsi="PetersburgC" w:cs="PetersburgC"/>
      <w:color w:val="221E1F"/>
      <w:sz w:val="18"/>
      <w:szCs w:val="18"/>
    </w:rPr>
  </w:style>
  <w:style w:type="paragraph" w:customStyle="1" w:styleId="Pa22">
    <w:name w:val="Pa22"/>
    <w:basedOn w:val="Default"/>
    <w:next w:val="Default"/>
    <w:uiPriority w:val="99"/>
    <w:rsid w:val="006F2AA2"/>
    <w:pPr>
      <w:spacing w:line="36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5E0D5D"/>
    <w:pPr>
      <w:spacing w:line="24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5E0D5D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10959"/>
    <w:rPr>
      <w:rFonts w:cs="TextBookC"/>
      <w:b/>
      <w:bCs/>
      <w:color w:val="221E1F"/>
      <w:sz w:val="32"/>
      <w:szCs w:val="32"/>
    </w:rPr>
  </w:style>
  <w:style w:type="character" w:customStyle="1" w:styleId="A18">
    <w:name w:val="A18"/>
    <w:uiPriority w:val="99"/>
    <w:rsid w:val="002E0125"/>
    <w:rPr>
      <w:rFonts w:cs="TextBookC"/>
      <w:i/>
      <w:iCs/>
      <w:color w:val="221E1F"/>
      <w:sz w:val="10"/>
      <w:szCs w:val="10"/>
    </w:rPr>
  </w:style>
  <w:style w:type="character" w:customStyle="1" w:styleId="A14">
    <w:name w:val="A14"/>
    <w:uiPriority w:val="99"/>
    <w:rsid w:val="00C86DD0"/>
    <w:rPr>
      <w:rFonts w:ascii="PetersburgC" w:hAnsi="PetersburgC" w:cs="PetersburgC"/>
      <w:color w:val="221E1F"/>
      <w:sz w:val="10"/>
      <w:szCs w:val="10"/>
    </w:rPr>
  </w:style>
  <w:style w:type="paragraph" w:customStyle="1" w:styleId="Pa41">
    <w:name w:val="Pa41"/>
    <w:basedOn w:val="Default"/>
    <w:next w:val="Default"/>
    <w:uiPriority w:val="99"/>
    <w:rsid w:val="00C22FCD"/>
    <w:pPr>
      <w:spacing w:line="18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8762CF"/>
    <w:rPr>
      <w:rFonts w:cs="PragmaticaC"/>
      <w:b/>
      <w:bCs/>
      <w:color w:val="221E1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7</cp:revision>
  <dcterms:created xsi:type="dcterms:W3CDTF">2016-04-22T08:55:00Z</dcterms:created>
  <dcterms:modified xsi:type="dcterms:W3CDTF">2016-04-22T10:15:00Z</dcterms:modified>
</cp:coreProperties>
</file>